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color w:val="auto"/>
          <w:sz w:val="44"/>
          <w:szCs w:val="44"/>
          <w:lang w:eastAsia="zh-CN"/>
        </w:rPr>
        <w:t>物价局</w:t>
      </w:r>
      <w:r>
        <w:rPr>
          <w:rFonts w:hint="eastAsia" w:ascii="方正小标宋简体" w:hAnsi="Times New Roman" w:eastAsia="方正小标宋简体" w:cs="Times New Roman"/>
          <w:sz w:val="44"/>
          <w:szCs w:val="44"/>
        </w:rPr>
        <w:t>2019年部门预算信息公开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r>
        <w:rPr>
          <w:rFonts w:hint="eastAsia" w:ascii="仿宋_GB2312" w:hAnsi="Times New Roman" w:eastAsia="仿宋_GB2312" w:cs="Times New Roman"/>
          <w:color w:val="auto"/>
          <w:sz w:val="32"/>
          <w:szCs w:val="32"/>
          <w:lang w:eastAsia="zh-CN"/>
        </w:rPr>
        <w:t>霸州市物价局</w:t>
      </w:r>
      <w:r>
        <w:rPr>
          <w:rFonts w:hint="eastAsia" w:ascii="仿宋_GB2312" w:hAnsi="Times New Roman" w:eastAsia="仿宋_GB2312" w:cs="Times New Roman"/>
          <w:sz w:val="32"/>
          <w:szCs w:val="32"/>
        </w:rPr>
        <w:t>2019年部门预算公开如下：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霸州市物价局是主管全市物价工作的市政府组成部门，其主要职责是：研究提出全市价格总水平年度调控计划和中长期调控目标，监测、预测全市价格总水平及其结构变动趋势，提出调控意见和建议；研究提出价格（收费）改革的年度、中长期计划及调整方案，对国家和省出台的价格（收费）改革方案及时组织实施；对省、市委托实行政府定价或政府指导价的商品价格实行管理，对市场调节的商品和服务价格实行间接调控；管理国家机关收费、公益事业收费、公用事业收费、中介服务收费和重要的经营性收费；负责市场物价变化情况监测，向市局和市委、市政府反映物价方面的重要情况，为政府实施宏观调控提供决策依据，向企业发布价格信息；依据有关价格法律、法规、规章，组织全市商品和服务价格（收费）的监督检查，查处违法行为，受理对价格（收费）违法行为的举报，对价格（收费）申诉案件进行复议和裁决；负责重要工业品和农产品成本调查工作，审核汇总全市重要工业品、农产品的成本、收益，提出相应对策、建议；管理全市价格认证和复核裁定工作，对经济认证、司法认证机构收费行为进行管理，做好价格评估、价格咨询工作；承办市委、市政府交办的其他事项。2003年1月，内设机构6个：办公室、价格管理股、收费管理股、价格检查股、价格认证中心、胜芳价格检查站，人员编制19名，至201</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年2月内设机构与人员编制无变化。</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00" w:hRule="atLeast"/>
          <w:tblHeader/>
          <w:jc w:val="center"/>
        </w:trPr>
        <w:tc>
          <w:tcPr>
            <w:tcW w:w="3711"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vAlign w:val="center"/>
          </w:tcPr>
          <w:p>
            <w:pPr>
              <w:spacing w:line="300" w:lineRule="exact"/>
              <w:jc w:val="left"/>
              <w:outlineLvl w:val="0"/>
              <w:rPr>
                <w:rFonts w:ascii="Times New Roman" w:hAnsi="Times New Roman" w:eastAsia="宋体" w:cs="Times New Roman"/>
                <w:szCs w:val="24"/>
              </w:rPr>
            </w:pPr>
          </w:p>
        </w:tc>
        <w:tc>
          <w:tcPr>
            <w:tcW w:w="1866" w:type="dxa"/>
            <w:vMerge w:val="continue"/>
            <w:vAlign w:val="center"/>
          </w:tcPr>
          <w:p>
            <w:pPr>
              <w:spacing w:line="300" w:lineRule="exact"/>
              <w:jc w:val="left"/>
              <w:outlineLvl w:val="0"/>
              <w:rPr>
                <w:rFonts w:ascii="Times New Roman" w:hAnsi="Times New Roman" w:eastAsia="宋体" w:cs="Times New Roman"/>
                <w:szCs w:val="24"/>
              </w:rPr>
            </w:pPr>
          </w:p>
        </w:tc>
        <w:tc>
          <w:tcPr>
            <w:tcW w:w="1536" w:type="dxa"/>
            <w:vMerge w:val="continue"/>
            <w:vAlign w:val="center"/>
          </w:tcPr>
          <w:p>
            <w:pPr>
              <w:spacing w:line="300" w:lineRule="exact"/>
              <w:jc w:val="left"/>
              <w:outlineLvl w:val="0"/>
              <w:rPr>
                <w:rFonts w:ascii="Times New Roman" w:hAnsi="Times New Roman" w:eastAsia="宋体" w:cs="Times New Roman"/>
                <w:szCs w:val="24"/>
              </w:rPr>
            </w:pPr>
          </w:p>
        </w:tc>
        <w:tc>
          <w:tcPr>
            <w:tcW w:w="2642" w:type="dxa"/>
            <w:vMerge w:val="continue"/>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霸州市物价局</w:t>
            </w:r>
          </w:p>
        </w:tc>
        <w:tc>
          <w:tcPr>
            <w:tcW w:w="1866" w:type="dxa"/>
            <w:vAlign w:val="center"/>
          </w:tcPr>
          <w:p>
            <w:pPr>
              <w:spacing w:line="300" w:lineRule="exact"/>
              <w:jc w:val="center"/>
              <w:rPr>
                <w:rFonts w:hint="eastAsia" w:ascii="Times New Roman" w:hAnsi="Times New Roman" w:eastAsia="方正书宋_GBK" w:cs="Times New Roman"/>
                <w:color w:val="auto"/>
                <w:szCs w:val="24"/>
                <w:lang w:eastAsia="zh-CN"/>
              </w:rPr>
            </w:pPr>
            <w:r>
              <w:rPr>
                <w:rFonts w:hint="eastAsia" w:ascii="Times New Roman" w:hAnsi="Times New Roman" w:eastAsia="方正书宋_GBK" w:cs="Times New Roman"/>
                <w:color w:val="auto"/>
                <w:szCs w:val="24"/>
                <w:lang w:eastAsia="zh-CN"/>
              </w:rPr>
              <w:t>行政机关</w:t>
            </w:r>
          </w:p>
        </w:tc>
        <w:tc>
          <w:tcPr>
            <w:tcW w:w="1536" w:type="dxa"/>
            <w:vAlign w:val="center"/>
          </w:tcPr>
          <w:p>
            <w:pPr>
              <w:spacing w:line="300" w:lineRule="exact"/>
              <w:jc w:val="center"/>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正科级</w:t>
            </w:r>
          </w:p>
        </w:tc>
        <w:tc>
          <w:tcPr>
            <w:tcW w:w="2642" w:type="dxa"/>
            <w:vAlign w:val="center"/>
          </w:tcPr>
          <w:p>
            <w:pPr>
              <w:spacing w:line="300" w:lineRule="exact"/>
              <w:jc w:val="center"/>
              <w:rPr>
                <w:rFonts w:hint="eastAsia" w:ascii="Times New Roman" w:hAnsi="Times New Roman" w:eastAsia="方正书宋_GBK" w:cs="Times New Roman"/>
                <w:color w:val="auto"/>
                <w:szCs w:val="24"/>
                <w:lang w:eastAsia="zh-CN"/>
              </w:rPr>
            </w:pPr>
            <w:r>
              <w:rPr>
                <w:rFonts w:hint="eastAsia" w:ascii="Times New Roman" w:hAnsi="Times New Roman" w:eastAsia="方正书宋_GBK" w:cs="Times New Roman"/>
                <w:color w:val="auto"/>
                <w:szCs w:val="24"/>
                <w:lang w:eastAsia="zh-CN"/>
              </w:rPr>
              <w:t>财政拨款</w:t>
            </w:r>
          </w:p>
        </w:tc>
      </w:tr>
    </w:tbl>
    <w:p>
      <w:pPr>
        <w:ind w:firstLine="640" w:firstLineChars="200"/>
        <w:rPr>
          <w:rFonts w:ascii="黑体" w:hAnsi="黑体" w:eastAsia="黑体" w:cs="Times New Roman"/>
          <w:sz w:val="32"/>
          <w:szCs w:val="32"/>
        </w:rPr>
      </w:pPr>
      <w:bookmarkStart w:id="3" w:name="_GoBack"/>
      <w:bookmarkEnd w:id="3"/>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反映本部门当年全部收入。2019年预算收入479.39万元，其中：一般公共预算收入479.39万元，政府性基金预算收入</w:t>
      </w:r>
      <w:r>
        <w:rPr>
          <w:rFonts w:hint="eastAsia" w:ascii="仿宋_GB2312" w:hAnsi="Times New Roman" w:eastAsia="仿宋_GB2312" w:cs="Times New Roman"/>
          <w:sz w:val="32"/>
          <w:szCs w:val="32"/>
          <w:lang w:val="en-US" w:eastAsia="zh-CN"/>
        </w:rPr>
        <w:t>0.00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0.00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0.00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0.00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0.00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0.00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0.00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eastAsia="zh-CN"/>
        </w:rPr>
        <w:t>物价局</w:t>
      </w:r>
      <w:r>
        <w:rPr>
          <w:rFonts w:hint="eastAsia" w:ascii="仿宋_GB2312" w:hAnsi="Times New Roman" w:eastAsia="仿宋_GB2312" w:cs="Times New Roman"/>
          <w:sz w:val="32"/>
          <w:szCs w:val="32"/>
        </w:rPr>
        <w:t>2019年度部门预算中支出预算的总体情况。2019年本部门支出预算479.39万元，其中：基本支出455.29万元，包括：人员经费393.41</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和日常公用经费61.88</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；项目支出24.1</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eastAsia="zh-CN"/>
        </w:rPr>
        <w:t>价格监测与成本监审经费</w:t>
      </w:r>
      <w:r>
        <w:rPr>
          <w:rFonts w:hint="eastAsia" w:ascii="仿宋_GB2312" w:hAnsi="Times New Roman" w:eastAsia="仿宋_GB2312" w:cs="Times New Roman"/>
          <w:sz w:val="32"/>
          <w:szCs w:val="32"/>
          <w:lang w:val="en-US" w:eastAsia="zh-CN"/>
        </w:rPr>
        <w:t>24.1万元</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0.00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0.00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0.00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sz w:val="32"/>
          <w:szCs w:val="32"/>
          <w:highlight w:val="none"/>
        </w:rPr>
      </w:pPr>
      <w:r>
        <w:rPr>
          <w:rFonts w:hint="eastAsia" w:ascii="仿宋_GB2312" w:hAnsi="Times New Roman" w:eastAsia="仿宋_GB2312" w:cs="Times New Roman"/>
          <w:color w:val="000000"/>
          <w:sz w:val="32"/>
          <w:szCs w:val="32"/>
        </w:rPr>
        <w:t>2019年预算收支安排479.39万元，较2018年预算</w:t>
      </w:r>
      <w:r>
        <w:rPr>
          <w:rFonts w:hint="eastAsia" w:ascii="仿宋_GB2312" w:hAnsi="Times New Roman" w:eastAsia="仿宋_GB2312" w:cs="Times New Roman"/>
          <w:color w:val="000000"/>
          <w:sz w:val="32"/>
          <w:szCs w:val="32"/>
          <w:highlight w:val="none"/>
        </w:rPr>
        <w:t>增加</w:t>
      </w:r>
      <w:r>
        <w:rPr>
          <w:rFonts w:hint="eastAsia" w:ascii="仿宋_GB2312" w:hAnsi="Times New Roman" w:eastAsia="仿宋_GB2312" w:cs="Times New Roman"/>
          <w:color w:val="000000"/>
          <w:sz w:val="32"/>
          <w:szCs w:val="32"/>
          <w:lang w:val="en-US" w:eastAsia="zh-CN"/>
        </w:rPr>
        <w:t>15.13</w:t>
      </w:r>
      <w:r>
        <w:rPr>
          <w:rFonts w:hint="eastAsia" w:ascii="仿宋_GB2312" w:hAnsi="Times New Roman" w:eastAsia="仿宋_GB2312" w:cs="Times New Roman"/>
          <w:color w:val="000000"/>
          <w:sz w:val="32"/>
          <w:szCs w:val="32"/>
        </w:rPr>
        <w:t>万元，其中：基本支出</w:t>
      </w:r>
      <w:r>
        <w:rPr>
          <w:rFonts w:hint="eastAsia" w:ascii="仿宋_GB2312" w:hAnsi="Times New Roman" w:eastAsia="仿宋_GB2312" w:cs="Times New Roman"/>
          <w:color w:val="000000"/>
          <w:sz w:val="32"/>
          <w:szCs w:val="32"/>
          <w:highlight w:val="none"/>
        </w:rPr>
        <w:t>减少</w:t>
      </w:r>
      <w:r>
        <w:rPr>
          <w:rFonts w:hint="eastAsia" w:ascii="仿宋_GB2312" w:hAnsi="Times New Roman" w:eastAsia="仿宋_GB2312" w:cs="Times New Roman"/>
          <w:color w:val="000000"/>
          <w:sz w:val="32"/>
          <w:szCs w:val="32"/>
          <w:highlight w:val="none"/>
          <w:lang w:val="en-US" w:eastAsia="zh-CN"/>
        </w:rPr>
        <w:t>8.97</w:t>
      </w:r>
      <w:r>
        <w:rPr>
          <w:rFonts w:hint="eastAsia" w:ascii="仿宋_GB2312" w:hAnsi="Times New Roman" w:eastAsia="仿宋_GB2312" w:cs="Times New Roman"/>
          <w:color w:val="000000"/>
          <w:sz w:val="32"/>
          <w:szCs w:val="32"/>
          <w:highlight w:val="none"/>
        </w:rPr>
        <w:t>万元，主要为</w:t>
      </w:r>
      <w:r>
        <w:rPr>
          <w:rFonts w:hint="eastAsia" w:ascii="仿宋_GB2312" w:hAnsi="Times New Roman" w:eastAsia="仿宋_GB2312" w:cs="Times New Roman"/>
          <w:color w:val="000000"/>
          <w:sz w:val="32"/>
          <w:szCs w:val="32"/>
          <w:highlight w:val="none"/>
          <w:lang w:eastAsia="zh-CN"/>
        </w:rPr>
        <w:t>公用经费</w:t>
      </w:r>
      <w:r>
        <w:rPr>
          <w:rFonts w:hint="eastAsia" w:ascii="仿宋_GB2312" w:hAnsi="Times New Roman" w:eastAsia="仿宋_GB2312" w:cs="Times New Roman"/>
          <w:color w:val="000000"/>
          <w:sz w:val="32"/>
          <w:szCs w:val="32"/>
          <w:highlight w:val="none"/>
        </w:rPr>
        <w:t>支出</w:t>
      </w:r>
      <w:r>
        <w:rPr>
          <w:rFonts w:hint="eastAsia" w:ascii="仿宋_GB2312" w:hAnsi="Times New Roman" w:eastAsia="仿宋_GB2312" w:cs="Times New Roman"/>
          <w:color w:val="000000"/>
          <w:sz w:val="32"/>
          <w:szCs w:val="32"/>
          <w:highlight w:val="none"/>
          <w:lang w:eastAsia="zh-CN"/>
        </w:rPr>
        <w:t>减少</w:t>
      </w:r>
      <w:r>
        <w:rPr>
          <w:rFonts w:hint="eastAsia" w:ascii="仿宋_GB2312" w:hAnsi="Times New Roman" w:eastAsia="仿宋_GB2312" w:cs="Times New Roman"/>
          <w:color w:val="000000"/>
          <w:sz w:val="32"/>
          <w:szCs w:val="32"/>
          <w:highlight w:val="none"/>
        </w:rPr>
        <w:t>；项目支出增加</w:t>
      </w:r>
      <w:r>
        <w:rPr>
          <w:rFonts w:hint="eastAsia" w:ascii="仿宋_GB2312" w:hAnsi="Times New Roman" w:eastAsia="仿宋_GB2312" w:cs="Times New Roman"/>
          <w:color w:val="000000"/>
          <w:sz w:val="32"/>
          <w:szCs w:val="32"/>
          <w:highlight w:val="none"/>
          <w:lang w:val="en-US" w:eastAsia="zh-CN"/>
        </w:rPr>
        <w:t>24.10</w:t>
      </w:r>
      <w:r>
        <w:rPr>
          <w:rFonts w:hint="eastAsia" w:ascii="仿宋_GB2312" w:hAnsi="Times New Roman" w:eastAsia="仿宋_GB2312" w:cs="Times New Roman"/>
          <w:color w:val="000000"/>
          <w:sz w:val="32"/>
          <w:szCs w:val="32"/>
          <w:highlight w:val="none"/>
        </w:rPr>
        <w:t>万元，主要为增加项</w:t>
      </w:r>
      <w:r>
        <w:rPr>
          <w:rFonts w:hint="eastAsia" w:ascii="仿宋_GB2312" w:hAnsi="Times New Roman" w:eastAsia="仿宋_GB2312" w:cs="Times New Roman"/>
          <w:sz w:val="32"/>
          <w:szCs w:val="32"/>
          <w:lang w:eastAsia="zh-CN"/>
        </w:rPr>
        <w:t>价格监测与成本监审项</w:t>
      </w:r>
      <w:r>
        <w:rPr>
          <w:rFonts w:hint="eastAsia" w:ascii="仿宋_GB2312" w:hAnsi="Times New Roman" w:eastAsia="仿宋_GB2312" w:cs="Times New Roman"/>
          <w:color w:val="000000"/>
          <w:sz w:val="32"/>
          <w:szCs w:val="32"/>
          <w:highlight w:val="none"/>
        </w:rPr>
        <w:t>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机关运行经费共计安排61.88万元，主要用于办公区的日常维修、办公用房水电费、办公用房取暖费、办公及印刷费，邮电费、差旅费、福利费、</w:t>
      </w:r>
      <w:r>
        <w:rPr>
          <w:rFonts w:hint="eastAsia" w:ascii="仿宋_GB2312" w:hAnsi="Times New Roman" w:eastAsia="仿宋_GB2312" w:cs="Times New Roman"/>
          <w:sz w:val="32"/>
          <w:szCs w:val="32"/>
          <w:lang w:eastAsia="zh-CN"/>
        </w:rPr>
        <w:t>培训费、</w:t>
      </w:r>
      <w:r>
        <w:rPr>
          <w:rFonts w:hint="eastAsia" w:ascii="仿宋_GB2312" w:hAnsi="Times New Roman" w:eastAsia="仿宋_GB2312" w:cs="Times New Roman"/>
          <w:sz w:val="32"/>
          <w:szCs w:val="32"/>
        </w:rPr>
        <w:t>公务接待费</w:t>
      </w:r>
      <w:r>
        <w:rPr>
          <w:rFonts w:hint="eastAsia" w:ascii="仿宋_GB2312" w:hAnsi="Times New Roman" w:eastAsia="仿宋_GB2312" w:cs="Times New Roman"/>
          <w:sz w:val="32"/>
          <w:szCs w:val="32"/>
          <w:lang w:eastAsia="zh-CN"/>
        </w:rPr>
        <w:t>、工会经费、</w:t>
      </w:r>
      <w:r>
        <w:rPr>
          <w:rFonts w:hint="eastAsia" w:ascii="仿宋_GB2312" w:hAnsi="Times New Roman" w:eastAsia="仿宋_GB2312" w:cs="Times New Roman"/>
          <w:sz w:val="32"/>
          <w:szCs w:val="32"/>
        </w:rPr>
        <w:t>办公用房物业管理费、公务用车运行维护费</w:t>
      </w:r>
      <w:r>
        <w:rPr>
          <w:rFonts w:hint="eastAsia" w:ascii="仿宋_GB2312" w:hAnsi="Times New Roman" w:eastAsia="仿宋_GB2312" w:cs="Times New Roman"/>
          <w:sz w:val="32"/>
          <w:szCs w:val="32"/>
          <w:lang w:eastAsia="zh-CN"/>
        </w:rPr>
        <w:t>、其他交通费等</w:t>
      </w:r>
      <w:r>
        <w:rPr>
          <w:rFonts w:hint="eastAsia" w:ascii="仿宋_GB2312" w:hAnsi="Times New Roman" w:eastAsia="仿宋_GB2312" w:cs="Times New Roman"/>
          <w:sz w:val="32"/>
          <w:szCs w:val="32"/>
        </w:rPr>
        <w:t>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color w:val="FF0000"/>
          <w:sz w:val="32"/>
          <w:szCs w:val="32"/>
          <w:lang w:eastAsia="zh-CN"/>
        </w:rPr>
      </w:pPr>
      <w:r>
        <w:rPr>
          <w:rFonts w:hint="eastAsia" w:ascii="仿宋_GB2312" w:hAnsi="Times New Roman" w:eastAsia="仿宋_GB2312" w:cs="Times New Roman"/>
          <w:sz w:val="32"/>
          <w:szCs w:val="32"/>
        </w:rPr>
        <w:t>2019年，我部门“三公”经费预算安排2.74万元，其中：公务用车购置及运维费2.5</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万元（其中：公务用车运行维护费2.5</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万元)；公务接待费0.24万元，较2018年“三公”经费</w:t>
      </w:r>
      <w:r>
        <w:rPr>
          <w:rFonts w:hint="eastAsia" w:ascii="仿宋_GB2312" w:hAnsi="Times New Roman" w:eastAsia="仿宋_GB2312" w:cs="Times New Roman"/>
          <w:sz w:val="32"/>
          <w:szCs w:val="32"/>
          <w:highlight w:val="none"/>
        </w:rPr>
        <w:t>减</w:t>
      </w:r>
      <w:r>
        <w:rPr>
          <w:rFonts w:hint="eastAsia" w:ascii="仿宋_GB2312" w:hAnsi="Times New Roman" w:eastAsia="仿宋_GB2312" w:cs="Times New Roman"/>
          <w:sz w:val="32"/>
          <w:szCs w:val="32"/>
          <w:highlight w:val="none"/>
          <w:lang w:eastAsia="zh-CN"/>
        </w:rPr>
        <w:t>少</w:t>
      </w:r>
      <w:r>
        <w:rPr>
          <w:rFonts w:hint="eastAsia" w:ascii="仿宋_GB2312" w:hAnsi="Times New Roman" w:eastAsia="仿宋_GB2312" w:cs="Times New Roman"/>
          <w:sz w:val="32"/>
          <w:szCs w:val="32"/>
          <w:highlight w:val="none"/>
          <w:lang w:val="en-US" w:eastAsia="zh-CN"/>
        </w:rPr>
        <w:t>0.05</w:t>
      </w:r>
      <w:r>
        <w:rPr>
          <w:rFonts w:hint="eastAsia" w:ascii="仿宋_GB2312" w:hAnsi="Times New Roman" w:eastAsia="仿宋_GB2312" w:cs="Times New Roman"/>
          <w:sz w:val="32"/>
          <w:szCs w:val="32"/>
        </w:rPr>
        <w:t>万元，主要是较2018年“三公”经费</w:t>
      </w:r>
      <w:r>
        <w:rPr>
          <w:rFonts w:hint="eastAsia" w:ascii="仿宋_GB2312" w:hAnsi="Times New Roman" w:eastAsia="仿宋_GB2312" w:cs="Times New Roman"/>
          <w:sz w:val="32"/>
          <w:szCs w:val="32"/>
          <w:lang w:eastAsia="zh-CN"/>
        </w:rPr>
        <w:t>减少</w:t>
      </w:r>
      <w:r>
        <w:rPr>
          <w:rFonts w:hint="eastAsia" w:ascii="仿宋_GB2312" w:hAnsi="Times New Roman" w:eastAsia="仿宋_GB2312" w:cs="Times New Roman"/>
          <w:sz w:val="32"/>
          <w:szCs w:val="32"/>
          <w:lang w:val="en-US" w:eastAsia="zh-CN"/>
        </w:rPr>
        <w:t>0.05</w:t>
      </w:r>
      <w:r>
        <w:rPr>
          <w:rFonts w:hint="eastAsia" w:ascii="仿宋_GB2312" w:hAnsi="Times New Roman" w:eastAsia="仿宋_GB2312" w:cs="Times New Roman"/>
          <w:sz w:val="32"/>
          <w:szCs w:val="32"/>
        </w:rPr>
        <w:t>万元，主要是因为公务用车运行维护费与2018年持平，无增减变化；公务接待费</w:t>
      </w:r>
      <w:r>
        <w:rPr>
          <w:rFonts w:hint="eastAsia" w:ascii="仿宋_GB2312" w:hAnsi="Times New Roman" w:eastAsia="仿宋_GB2312" w:cs="Times New Roman"/>
          <w:sz w:val="32"/>
          <w:szCs w:val="32"/>
          <w:lang w:eastAsia="zh-CN"/>
        </w:rPr>
        <w:t>减少</w:t>
      </w:r>
      <w:r>
        <w:rPr>
          <w:rFonts w:hint="eastAsia" w:ascii="仿宋_GB2312" w:hAnsi="Times New Roman" w:eastAsia="仿宋_GB2312" w:cs="Times New Roman"/>
          <w:sz w:val="32"/>
          <w:szCs w:val="32"/>
          <w:lang w:val="en-US" w:eastAsia="zh-CN"/>
        </w:rPr>
        <w:t>0.05</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减少</w:t>
      </w:r>
      <w:r>
        <w:rPr>
          <w:rFonts w:hint="eastAsia" w:ascii="仿宋_GB2312" w:hAnsi="Times New Roman" w:eastAsia="仿宋_GB2312" w:cs="Times New Roman"/>
          <w:sz w:val="32"/>
          <w:szCs w:val="32"/>
        </w:rPr>
        <w:t>原因为</w:t>
      </w:r>
      <w:r>
        <w:rPr>
          <w:rFonts w:hint="eastAsia" w:ascii="仿宋_GB2312" w:hAnsi="Times New Roman" w:eastAsia="仿宋_GB2312" w:cs="Times New Roman"/>
          <w:sz w:val="32"/>
          <w:szCs w:val="32"/>
          <w:lang w:eastAsia="zh-CN"/>
        </w:rPr>
        <w:t>我单位厉行节约。</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总体绩效目标：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我局精心策划明年重点工作，突出以下四点要求，即严格按照国家政策规定程序、政策要求办事；严格按照法定时限、公开时限进行办理；严格按照要求公开审批事项、业务程序；严守为民服务的宗旨做好物价业务工作。</w:t>
      </w:r>
    </w:p>
    <w:p>
      <w:pPr>
        <w:ind w:firstLine="643" w:firstLineChars="200"/>
        <w:rPr>
          <w:rFonts w:hint="eastAsia" w:ascii="仿宋_GB2312" w:hAnsi="Times New Roman" w:eastAsia="仿宋_GB2312" w:cs="Times New Roman"/>
          <w:sz w:val="32"/>
          <w:szCs w:val="32"/>
        </w:rPr>
      </w:pPr>
      <w:r>
        <w:rPr>
          <w:rFonts w:hint="eastAsia" w:ascii="楷体_GB2312" w:hAnsi="Times New Roman" w:eastAsia="楷体_GB2312" w:cs="Times New Roman"/>
          <w:b/>
          <w:sz w:val="32"/>
          <w:szCs w:val="32"/>
        </w:rPr>
        <w:t>职责分类绩效目标：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霸州市物价局是主管全市物价工作的市政府组成部门，其主要职责是：研究提出全市价格总水平年度调控计划和中长期调控目标，监测、预测全市价格总水平及其结构变动趋势，提出调控意见和建议；研究提出价格（收费）改革的年度、中长期计划及调整方案，对国家和省出台的价格（收费）改革方案及时组织实施；对省、市委托实行政府定价或政府指导价的商品价格实行管理，对市场调节的商品和服务价格实行间接调控；管理国家机关收费、公益事业收费、公用事业收费、中介服务收费和重要的经营性收费；负责市场物价变化情况监测，向市局和市委、市政府反映物价方面的重要情况，为政府实施宏观调控提出决策依据，向企业发布价格信息；依据有关价格法律、法规、规章，组织全市商品和服务价格（收费）的监督检查，查处违法行为，受理对价格（收费）违法行为的举报，对价格（收费）申诉案件进行复议和裁决；负责重要工业品和农产品成本调查工作，审核汇总全市重要工业品、农产品的成本、收益，提出相应对策、建议；管理全市价格认证和复核裁定工作，对经济认证、司法认证机构收费行为进行管理，做好价格评估、价格咨询工作；承办市委、市政府交办的其他事项。</w:t>
      </w:r>
    </w:p>
    <w:p>
      <w:pPr>
        <w:ind w:firstLine="643" w:firstLineChars="200"/>
        <w:jc w:val="left"/>
        <w:outlineLvl w:val="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812霸州市物价局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一、价格总水平调控和价格管理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根据国民经济发展需要和社会承受能力，拟订全县价格总水平年度调控计划和中长期调控目标，监测预测全县价格总水平及其结构变动趋势，提出调控建议。管理全县与国民经济和人民生活关系重大、资源稀缺、自然垄断经营的商品价格，拟订作价原则、办法。</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保持市场价格总水平基本稳定</w:t>
            </w:r>
            <w:r>
              <w:rPr>
                <w:rFonts w:ascii="方正书宋_GBK" w:eastAsia="方正书宋_GBK"/>
              </w:rPr>
              <w:t>,</w:t>
            </w:r>
            <w:r>
              <w:rPr>
                <w:rFonts w:hint="eastAsia" w:ascii="方正书宋_GBK" w:eastAsia="方正书宋_GBK"/>
              </w:rPr>
              <w:t>努力保障改善民生，促进经济持续健康发展和社会和谐稳定。</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、拟订提出价格总水平年度调控目标和建议</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拟订全县价格总水平年度调控计划，编制中长期调控目标。开展日常、突发事件、重要节假日等价格巡查监测，密切跟踪国内外经济和价格运行，健全应对价格异常波动处理机制，及时启动应急预案，把价格总水平稳定在合理区间。</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保持市场价格总水平基本稳定</w:t>
            </w:r>
            <w:r>
              <w:rPr>
                <w:rFonts w:ascii="方正书宋_GBK" w:eastAsia="方正书宋_GBK"/>
              </w:rPr>
              <w:t>,</w:t>
            </w:r>
            <w:r>
              <w:rPr>
                <w:rFonts w:hint="eastAsia" w:ascii="方正书宋_GBK" w:eastAsia="方正书宋_GBK"/>
              </w:rPr>
              <w:t>努力保障改善民生，促进经济持续健康发展和社会和谐稳定。</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居民消费价格年度预期目标完成情况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预期目标以内</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预期目标左右</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较大幅度超过预期目标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大幅度超过预期目标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价格监测任务完成率</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、调整商品、运输、服务价格</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落实国家电力、燃气、热力等价格政策，拟定调整方案，推进价格机制改革。</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推进国家、省市价格政策落实，完善价格形成机制。</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年度重点价格改革任务完成率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国家、省市价格政策落实情况</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按规定时限全部完成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按规定时限大部分完成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按规定时限基本完成</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按规定时限未完成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、拟订收费标准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根据国家、省市政策和事业发展需要，制定和调整国家机关、公益事业、公用事业、中介服务和重要经营收费的标准并监督执行。</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加强全县行政事业性收费标准制定调整工作</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收费标准规范有效性</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规范有效</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比较规范有效</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基本规范有效</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不规范，无效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收费标准制定工作完成率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按规定时限全部完成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按规定时限大部分完成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按规定时限基本完成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按规定时限未完成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、组织价格听证会</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在制定政府指导价、政府定价过程中，组织召开听证会，征求经营者、消费者和有关方面的意见，对制定价格的必要性、可行性进行论证。</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政府价格决策科学和透明</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召开听证会工作完成率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按规定时限全部完成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按规定时限大部分完成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按规定时限基本完成</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按规定时限未完成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、司法案件涉案财物、行政工作所涉财物价格认定</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经司法机关提出，办理司法案件中涉及的价格不明或者价格有争议的涉案财物价格认定；经行政机关提出，办理行政工作，包括行政诉讼、复议及处罚案件，行政征收、征用（含应税物价格认定）及执法活动，国家赔偿、补偿等事项中所涉财物价格认定；办理本级价格认定复核事项</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接受司法机关、行政机关提出的价格认定事项，遵循依法、公正、科学、效率的原则，作出准确、可靠的价格认定结论，为司法机关办理相关案件、为行政工作提供依据，保障司法、行政工作顺利进行</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办案准确率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认定结论按期完成率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、纪检监察案件涉案财物价格认定</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经纪检监察机关提出，办理纪检监察机关查办案件涉案财物价格认定；办理本级价格认定复核事项</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接受纪检监察机关提出的价格认定事项，遵循依法、公正、科学、效率的原则，作出准确、可靠的价格认定结论，为纪检监察机关办理案件提供依据，保障纪检监察工作顺利进行</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案件复核维持率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价格认定案件办结率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二、价格成本调查和监审</w:t>
            </w:r>
          </w:p>
        </w:tc>
        <w:tc>
          <w:tcPr>
            <w:tcW w:w="1276" w:type="dxa"/>
            <w:vAlign w:val="center"/>
          </w:tcPr>
          <w:p>
            <w:pPr>
              <w:spacing w:line="300" w:lineRule="exact"/>
              <w:jc w:val="left"/>
              <w:rPr>
                <w:rFonts w:ascii="方正书宋_GBK" w:eastAsia="方正书宋_GBK"/>
              </w:rPr>
            </w:pPr>
            <w:r>
              <w:rPr>
                <w:rFonts w:ascii="方正书宋_GBK" w:eastAsia="方正书宋_GBK"/>
              </w:rPr>
              <w:t>24.10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建立健全产品成本信息网络，组织成本汇总和成本分析；对列入《县价格成本监审管理目录》的商品和收费项目进行调定价监审。</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确保农产品调查合理布局，样本具有代表性，提高调查数据的科学性，为上级和县政府提供成本数据、分析预测趋势，为上级制定宏观经济政策、价格政策、稳定市场物价服务；使成本监审工作规范化、程序化，确保全县成本监审工作依法有序地开展，为政府制定价格提供成本数据支撑。</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、实施全县农产品成本调查</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确定调查品种、调查户，进行组织实施和检查监督</w:t>
            </w:r>
            <w:r>
              <w:rPr>
                <w:rFonts w:ascii="方正书宋_GBK" w:eastAsia="方正书宋_GBK"/>
              </w:rPr>
              <w:t>,</w:t>
            </w:r>
            <w:r>
              <w:rPr>
                <w:rFonts w:hint="eastAsia" w:ascii="方正书宋_GBK" w:eastAsia="方正书宋_GBK"/>
              </w:rPr>
              <w:t>并对调查品种数据进行收集、审核、汇总、分析。</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确保农产品调查合理布局，样本具有代表性，提高调查数据的科学性，为上级和县政府提供成本数据、分析预测趋势，为制定宏观经济政策、价格政策、稳定市场物价服务。</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成本调查结果置信度</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农产品成本调查任务完成率</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、价格成本调查和定价成本监审</w:t>
            </w:r>
          </w:p>
        </w:tc>
        <w:tc>
          <w:tcPr>
            <w:tcW w:w="1276" w:type="dxa"/>
            <w:vAlign w:val="center"/>
          </w:tcPr>
          <w:p>
            <w:pPr>
              <w:spacing w:line="300" w:lineRule="exact"/>
              <w:jc w:val="left"/>
              <w:rPr>
                <w:rFonts w:ascii="方正书宋_GBK" w:eastAsia="方正书宋_GBK"/>
              </w:rPr>
            </w:pPr>
            <w:r>
              <w:rPr>
                <w:rFonts w:ascii="方正书宋_GBK" w:eastAsia="方正书宋_GBK"/>
              </w:rPr>
              <w:t>24.10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建立健全成本信息网络，组织成本汇总和成本分析；对列入《县价格成本监审管理目录》的商品和收费项目进行调定价监审。</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使成本监审工作规范化、程序化，确保成本监审工作依法有序地开展，为政府制定价格提供成本数据支撑。</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商品和收费定价监审率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三、价格监督检查</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组织价格和收费监督检查；受理价格处罚的复议案件和申诉案件；依法办理价格举报案件；推行明码标价和价格、收费公示制度，对市场放开商品实施价格监管，加强反价格欺诈反垄断工作。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治理价格违法行为，规范收费环境和价格秩序；确保价格行政执法、处罚、审理程序合法；推行明码标价，促进明码实价；促进经营者价格自律。</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、法制与案件审理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对全县价格违法案件执法情况进行监督、检查，对价格违法案件的审理、提出处理意见；受理价格处罚的行政复议、行政诉讼、申诉等案件；加强《河北省价格监督检查条例》的推广及普法工作，并监督其执行情况；培训价格检查干部相关法律法规知识。</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确保依法办案，确保价格行政执法、处罚、审理程序合法。</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价格处罚的行政复议与诉讼完成率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价格违法案件处理完成率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案件办结率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、商品和服务价格监督检查</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规范市场价格秩序，打击虚构原价、虚假打折等欺诈行为；完善电子商务、网络购物、快递等新兴服务业价格动态应急处置机制，打击价格违法行为，防范价格异动。</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治理价格违法行为，规范收费环境和价格秩序；确保价格行政执法、处罚、审理程序合法；推行明码标价，促进明码实价；促进经营者价格自律。</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价格和收费监督检查目标完成率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欺诈案件处理率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四、物价政务管理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负责机关综合业务管理和机关综合事务管理。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建立舆情应急处置机制，健全价格舆情监测系统</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按照市场化的方向推进价格改革；建立舆情应急处置机制，健全价格舆情监测系统。</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完善舆情应急处置平台</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舆情应急处理及时性</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处理及时彻底</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未及时处理彻底</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未及时处理不彻底</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未处理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围绕提高行政效率和服务质量，强化管理措施，完善制度保障，打造廉洁高效的价格政务服务环境。根据当事人的申请，依法对各类市场主体之间的价格（或损失）争议进行调解处理。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增强行政调解与人民调解、司法调解的衔接配合，充分发挥价格争议行政调解在预防、化解价格争议矛盾纠纷中的作用。</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&lt;90%</w:t>
            </w:r>
          </w:p>
        </w:tc>
      </w:tr>
    </w:tbl>
    <w:p>
      <w:pPr>
        <w:spacing w:line="300" w:lineRule="exact"/>
        <w:jc w:val="left"/>
        <w:outlineLvl w:val="0"/>
        <w:sectPr>
          <w:pgSz w:w="16839" w:h="11907" w:orient="landscape"/>
          <w:pgMar w:top="1020" w:right="1361" w:bottom="1020" w:left="1361" w:header="851" w:footer="992" w:gutter="0"/>
          <w:cols w:space="720" w:num="1"/>
          <w:docGrid w:type="lines" w:linePitch="312" w:charSpace="0"/>
        </w:sect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000000"/>
          <w:sz w:val="32"/>
          <w:szCs w:val="32"/>
        </w:rPr>
      </w:pPr>
      <w:bookmarkStart w:id="2" w:name="_Toc471398468"/>
      <w:r>
        <w:rPr>
          <w:rFonts w:ascii="仿宋_GB2312" w:hAnsi="黑体" w:eastAsia="仿宋_GB2312" w:cs="Times New Roman"/>
          <w:color w:val="000000"/>
          <w:sz w:val="32"/>
          <w:szCs w:val="32"/>
        </w:rPr>
        <w:t>2019</w:t>
      </w:r>
      <w:r>
        <w:rPr>
          <w:rFonts w:hint="eastAsia" w:ascii="仿宋_GB2312" w:hAnsi="黑体" w:eastAsia="仿宋_GB2312" w:cs="Times New Roman"/>
          <w:color w:val="000000"/>
          <w:sz w:val="32"/>
          <w:szCs w:val="32"/>
        </w:rPr>
        <w:t>年</w:t>
      </w:r>
      <w:r>
        <w:rPr>
          <w:rFonts w:ascii="仿宋_GB2312" w:hAnsi="黑体" w:eastAsia="仿宋_GB2312" w:cs="Times New Roman"/>
          <w:color w:val="000000"/>
          <w:sz w:val="32"/>
          <w:szCs w:val="32"/>
        </w:rPr>
        <w:t>，我部门无</w:t>
      </w:r>
      <w:r>
        <w:rPr>
          <w:rFonts w:hint="eastAsia" w:ascii="仿宋_GB2312" w:hAnsi="黑体" w:eastAsia="仿宋_GB2312" w:cs="Times New Roman"/>
          <w:color w:val="000000"/>
          <w:sz w:val="32"/>
          <w:szCs w:val="32"/>
        </w:rPr>
        <w:t>政府采购预算。</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2"/>
    </w:p>
    <w:tbl>
      <w:tblPr>
        <w:tblStyle w:val="7"/>
        <w:tblW w:w="1416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0"/>
        <w:gridCol w:w="1068"/>
        <w:gridCol w:w="878"/>
        <w:gridCol w:w="1399"/>
        <w:gridCol w:w="878"/>
        <w:gridCol w:w="878"/>
        <w:gridCol w:w="904"/>
        <w:gridCol w:w="898"/>
        <w:gridCol w:w="898"/>
        <w:gridCol w:w="898"/>
        <w:gridCol w:w="819"/>
        <w:gridCol w:w="881"/>
        <w:gridCol w:w="884"/>
        <w:gridCol w:w="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cs="Times New Roman"/>
                <w:sz w:val="24"/>
                <w:szCs w:val="24"/>
              </w:rPr>
            </w:pPr>
            <w:r>
              <w:rPr>
                <w:rFonts w:hint="eastAsia" w:ascii="方正小标宋_GBK" w:hAnsi="Times New Roman" w:eastAsia="方正小标宋_GBK" w:cs="Times New Roman"/>
                <w:sz w:val="18"/>
                <w:szCs w:val="18"/>
                <w:lang w:val="en-US" w:eastAsia="zh-CN"/>
              </w:rPr>
              <w:t>812</w:t>
            </w:r>
            <w:r>
              <w:rPr>
                <w:rFonts w:hint="eastAsia" w:ascii="方正小标宋_GBK" w:hAnsi="Times New Roman" w:eastAsia="方正小标宋_GBK" w:cs="Times New Roman"/>
                <w:sz w:val="18"/>
                <w:szCs w:val="18"/>
              </w:rPr>
              <w:t>霸州市</w:t>
            </w:r>
            <w:r>
              <w:rPr>
                <w:rFonts w:hint="eastAsia" w:ascii="方正小标宋_GBK" w:hAnsi="Times New Roman" w:eastAsia="方正小标宋_GBK" w:cs="Times New Roman"/>
                <w:sz w:val="18"/>
                <w:szCs w:val="18"/>
                <w:lang w:eastAsia="zh-CN"/>
              </w:rPr>
              <w:t>物价</w:t>
            </w:r>
            <w:r>
              <w:rPr>
                <w:rFonts w:hint="eastAsia" w:ascii="方正小标宋_GBK" w:hAnsi="Times New Roman" w:eastAsia="方正小标宋_GBK" w:cs="Times New Roman"/>
                <w:sz w:val="18"/>
                <w:szCs w:val="18"/>
              </w:rPr>
              <w:t>局</w:t>
            </w:r>
          </w:p>
        </w:tc>
        <w:tc>
          <w:tcPr>
            <w:tcW w:w="5768"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8" w:type="dxa"/>
            <w:gridSpan w:val="2"/>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878"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1399"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878"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878"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904"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5768" w:type="dxa"/>
            <w:gridSpan w:val="7"/>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0"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1068"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878" w:type="dxa"/>
            <w:vMerge w:val="continue"/>
            <w:vAlign w:val="center"/>
          </w:tcPr>
          <w:p>
            <w:pPr>
              <w:spacing w:line="300" w:lineRule="exact"/>
              <w:jc w:val="left"/>
              <w:outlineLvl w:val="0"/>
              <w:rPr>
                <w:rFonts w:ascii="Times New Roman" w:hAnsi="Times New Roman" w:eastAsia="宋体" w:cs="Times New Roman"/>
                <w:szCs w:val="24"/>
              </w:rPr>
            </w:pPr>
          </w:p>
        </w:tc>
        <w:tc>
          <w:tcPr>
            <w:tcW w:w="1399" w:type="dxa"/>
            <w:vMerge w:val="continue"/>
            <w:vAlign w:val="center"/>
          </w:tcPr>
          <w:p>
            <w:pPr>
              <w:spacing w:line="300" w:lineRule="exact"/>
              <w:jc w:val="left"/>
              <w:outlineLvl w:val="0"/>
              <w:rPr>
                <w:rFonts w:ascii="Times New Roman" w:hAnsi="Times New Roman" w:eastAsia="宋体" w:cs="Times New Roman"/>
                <w:szCs w:val="24"/>
              </w:rPr>
            </w:pPr>
          </w:p>
        </w:tc>
        <w:tc>
          <w:tcPr>
            <w:tcW w:w="878" w:type="dxa"/>
            <w:vMerge w:val="continue"/>
            <w:vAlign w:val="center"/>
          </w:tcPr>
          <w:p>
            <w:pPr>
              <w:spacing w:line="300" w:lineRule="exact"/>
              <w:jc w:val="left"/>
              <w:outlineLvl w:val="0"/>
              <w:rPr>
                <w:rFonts w:ascii="Times New Roman" w:hAnsi="Times New Roman" w:eastAsia="宋体" w:cs="Times New Roman"/>
                <w:szCs w:val="24"/>
              </w:rPr>
            </w:pPr>
          </w:p>
        </w:tc>
        <w:tc>
          <w:tcPr>
            <w:tcW w:w="878" w:type="dxa"/>
            <w:vMerge w:val="continue"/>
            <w:vAlign w:val="center"/>
          </w:tcPr>
          <w:p>
            <w:pPr>
              <w:spacing w:line="300" w:lineRule="exact"/>
              <w:jc w:val="left"/>
              <w:outlineLvl w:val="0"/>
              <w:rPr>
                <w:rFonts w:ascii="Times New Roman" w:hAnsi="Times New Roman" w:eastAsia="宋体" w:cs="Times New Roman"/>
                <w:szCs w:val="24"/>
              </w:rPr>
            </w:pPr>
          </w:p>
        </w:tc>
        <w:tc>
          <w:tcPr>
            <w:tcW w:w="904" w:type="dxa"/>
            <w:vMerge w:val="continue"/>
            <w:vAlign w:val="center"/>
          </w:tcPr>
          <w:p>
            <w:pPr>
              <w:spacing w:line="300" w:lineRule="exact"/>
              <w:jc w:val="left"/>
              <w:outlineLvl w:val="0"/>
              <w:rPr>
                <w:rFonts w:ascii="Times New Roman" w:hAnsi="Times New Roman" w:eastAsia="宋体" w:cs="Times New Roman"/>
                <w:szCs w:val="24"/>
              </w:rPr>
            </w:pPr>
          </w:p>
        </w:tc>
        <w:tc>
          <w:tcPr>
            <w:tcW w:w="898"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4380" w:type="dxa"/>
            <w:gridSpan w:val="5"/>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490"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0" w:type="dxa"/>
            <w:vMerge w:val="continue"/>
            <w:vAlign w:val="center"/>
          </w:tcPr>
          <w:p>
            <w:pPr>
              <w:spacing w:line="300" w:lineRule="exact"/>
              <w:jc w:val="left"/>
              <w:outlineLvl w:val="0"/>
              <w:rPr>
                <w:rFonts w:ascii="Times New Roman" w:hAnsi="Times New Roman" w:eastAsia="宋体" w:cs="Times New Roman"/>
                <w:szCs w:val="24"/>
              </w:rPr>
            </w:pPr>
          </w:p>
        </w:tc>
        <w:tc>
          <w:tcPr>
            <w:tcW w:w="1068" w:type="dxa"/>
            <w:vMerge w:val="continue"/>
            <w:vAlign w:val="center"/>
          </w:tcPr>
          <w:p>
            <w:pPr>
              <w:spacing w:line="300" w:lineRule="exact"/>
              <w:jc w:val="left"/>
              <w:outlineLvl w:val="0"/>
              <w:rPr>
                <w:rFonts w:ascii="Times New Roman" w:hAnsi="Times New Roman" w:eastAsia="宋体" w:cs="Times New Roman"/>
                <w:szCs w:val="24"/>
              </w:rPr>
            </w:pPr>
          </w:p>
        </w:tc>
        <w:tc>
          <w:tcPr>
            <w:tcW w:w="878" w:type="dxa"/>
            <w:vMerge w:val="continue"/>
            <w:vAlign w:val="center"/>
          </w:tcPr>
          <w:p>
            <w:pPr>
              <w:spacing w:line="300" w:lineRule="exact"/>
              <w:jc w:val="left"/>
              <w:outlineLvl w:val="0"/>
              <w:rPr>
                <w:rFonts w:ascii="Times New Roman" w:hAnsi="Times New Roman" w:eastAsia="宋体" w:cs="Times New Roman"/>
                <w:szCs w:val="24"/>
              </w:rPr>
            </w:pPr>
          </w:p>
        </w:tc>
        <w:tc>
          <w:tcPr>
            <w:tcW w:w="1399" w:type="dxa"/>
            <w:vMerge w:val="continue"/>
            <w:vAlign w:val="center"/>
          </w:tcPr>
          <w:p>
            <w:pPr>
              <w:spacing w:line="300" w:lineRule="exact"/>
              <w:jc w:val="left"/>
              <w:outlineLvl w:val="0"/>
              <w:rPr>
                <w:rFonts w:ascii="Times New Roman" w:hAnsi="Times New Roman" w:eastAsia="宋体" w:cs="Times New Roman"/>
                <w:szCs w:val="24"/>
              </w:rPr>
            </w:pPr>
          </w:p>
        </w:tc>
        <w:tc>
          <w:tcPr>
            <w:tcW w:w="878" w:type="dxa"/>
            <w:vMerge w:val="continue"/>
            <w:vAlign w:val="center"/>
          </w:tcPr>
          <w:p>
            <w:pPr>
              <w:spacing w:line="300" w:lineRule="exact"/>
              <w:jc w:val="left"/>
              <w:outlineLvl w:val="0"/>
              <w:rPr>
                <w:rFonts w:ascii="Times New Roman" w:hAnsi="Times New Roman" w:eastAsia="宋体" w:cs="Times New Roman"/>
                <w:szCs w:val="24"/>
              </w:rPr>
            </w:pPr>
          </w:p>
        </w:tc>
        <w:tc>
          <w:tcPr>
            <w:tcW w:w="878" w:type="dxa"/>
            <w:vMerge w:val="continue"/>
            <w:vAlign w:val="center"/>
          </w:tcPr>
          <w:p>
            <w:pPr>
              <w:spacing w:line="300" w:lineRule="exact"/>
              <w:jc w:val="left"/>
              <w:outlineLvl w:val="0"/>
              <w:rPr>
                <w:rFonts w:ascii="Times New Roman" w:hAnsi="Times New Roman" w:eastAsia="宋体" w:cs="Times New Roman"/>
                <w:szCs w:val="24"/>
              </w:rPr>
            </w:pPr>
          </w:p>
        </w:tc>
        <w:tc>
          <w:tcPr>
            <w:tcW w:w="904" w:type="dxa"/>
            <w:vMerge w:val="continue"/>
            <w:vAlign w:val="center"/>
          </w:tcPr>
          <w:p>
            <w:pPr>
              <w:spacing w:line="300" w:lineRule="exact"/>
              <w:jc w:val="left"/>
              <w:outlineLvl w:val="0"/>
              <w:rPr>
                <w:rFonts w:ascii="Times New Roman" w:hAnsi="Times New Roman" w:eastAsia="宋体" w:cs="Times New Roman"/>
                <w:szCs w:val="24"/>
              </w:rPr>
            </w:pPr>
          </w:p>
        </w:tc>
        <w:tc>
          <w:tcPr>
            <w:tcW w:w="898" w:type="dxa"/>
            <w:vMerge w:val="continue"/>
            <w:vAlign w:val="center"/>
          </w:tcPr>
          <w:p>
            <w:pPr>
              <w:spacing w:line="300" w:lineRule="exact"/>
              <w:jc w:val="left"/>
              <w:outlineLvl w:val="0"/>
              <w:rPr>
                <w:rFonts w:ascii="Times New Roman" w:hAnsi="Times New Roman" w:eastAsia="宋体" w:cs="Times New Roman"/>
                <w:szCs w:val="24"/>
              </w:rPr>
            </w:pPr>
          </w:p>
        </w:tc>
        <w:tc>
          <w:tcPr>
            <w:tcW w:w="898"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898"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819"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881"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884"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490" w:type="dxa"/>
            <w:vMerge w:val="continue"/>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1068" w:type="dxa"/>
            <w:vAlign w:val="center"/>
          </w:tcPr>
          <w:p>
            <w:pPr>
              <w:spacing w:line="300" w:lineRule="exact"/>
              <w:jc w:val="right"/>
              <w:rPr>
                <w:rFonts w:ascii="方正书宋_GBK" w:hAnsi="Times New Roman" w:eastAsia="方正书宋_GBK" w:cs="Times New Roman"/>
                <w:b/>
                <w:szCs w:val="24"/>
              </w:rPr>
            </w:pPr>
          </w:p>
        </w:tc>
        <w:tc>
          <w:tcPr>
            <w:tcW w:w="878" w:type="dxa"/>
            <w:vAlign w:val="center"/>
          </w:tcPr>
          <w:p>
            <w:pPr>
              <w:spacing w:line="300" w:lineRule="exact"/>
              <w:jc w:val="left"/>
              <w:rPr>
                <w:rFonts w:ascii="方正书宋_GBK" w:hAnsi="Times New Roman" w:eastAsia="方正书宋_GBK" w:cs="Times New Roman"/>
                <w:b/>
                <w:szCs w:val="24"/>
              </w:rPr>
            </w:pPr>
          </w:p>
        </w:tc>
        <w:tc>
          <w:tcPr>
            <w:tcW w:w="1399" w:type="dxa"/>
            <w:vAlign w:val="center"/>
          </w:tcPr>
          <w:p>
            <w:pPr>
              <w:spacing w:line="300" w:lineRule="exact"/>
              <w:jc w:val="left"/>
              <w:rPr>
                <w:rFonts w:ascii="方正书宋_GBK" w:hAnsi="Times New Roman" w:eastAsia="方正书宋_GBK" w:cs="Times New Roman"/>
                <w:b/>
                <w:szCs w:val="24"/>
              </w:rPr>
            </w:pPr>
          </w:p>
        </w:tc>
        <w:tc>
          <w:tcPr>
            <w:tcW w:w="878" w:type="dxa"/>
            <w:vAlign w:val="center"/>
          </w:tcPr>
          <w:p>
            <w:pPr>
              <w:spacing w:line="300" w:lineRule="exact"/>
              <w:jc w:val="left"/>
              <w:rPr>
                <w:rFonts w:ascii="方正书宋_GBK" w:hAnsi="Times New Roman" w:eastAsia="方正书宋_GBK" w:cs="Times New Roman"/>
                <w:b/>
                <w:szCs w:val="24"/>
              </w:rPr>
            </w:pPr>
          </w:p>
        </w:tc>
        <w:tc>
          <w:tcPr>
            <w:tcW w:w="878" w:type="dxa"/>
            <w:vAlign w:val="center"/>
          </w:tcPr>
          <w:p>
            <w:pPr>
              <w:spacing w:line="300" w:lineRule="exact"/>
              <w:jc w:val="right"/>
              <w:rPr>
                <w:rFonts w:ascii="方正书宋_GBK" w:hAnsi="Times New Roman" w:eastAsia="方正书宋_GBK" w:cs="Times New Roman"/>
                <w:b/>
                <w:szCs w:val="24"/>
              </w:rPr>
            </w:pPr>
          </w:p>
        </w:tc>
        <w:tc>
          <w:tcPr>
            <w:tcW w:w="904" w:type="dxa"/>
            <w:vAlign w:val="center"/>
          </w:tcPr>
          <w:p>
            <w:pPr>
              <w:spacing w:line="300" w:lineRule="exact"/>
              <w:jc w:val="right"/>
              <w:rPr>
                <w:rFonts w:ascii="方正书宋_GBK" w:hAnsi="Times New Roman" w:eastAsia="方正书宋_GBK" w:cs="Times New Roman"/>
                <w:b/>
                <w:szCs w:val="24"/>
              </w:rPr>
            </w:pPr>
          </w:p>
        </w:tc>
        <w:tc>
          <w:tcPr>
            <w:tcW w:w="898" w:type="dxa"/>
            <w:vAlign w:val="center"/>
          </w:tcPr>
          <w:p>
            <w:pPr>
              <w:spacing w:line="300" w:lineRule="exact"/>
              <w:jc w:val="right"/>
              <w:rPr>
                <w:rFonts w:ascii="方正书宋_GBK" w:hAnsi="Times New Roman" w:eastAsia="方正书宋_GBK" w:cs="Times New Roman"/>
                <w:b/>
                <w:szCs w:val="24"/>
              </w:rPr>
            </w:pPr>
          </w:p>
        </w:tc>
        <w:tc>
          <w:tcPr>
            <w:tcW w:w="898" w:type="dxa"/>
            <w:vAlign w:val="center"/>
          </w:tcPr>
          <w:p>
            <w:pPr>
              <w:spacing w:line="300" w:lineRule="exact"/>
              <w:jc w:val="right"/>
              <w:rPr>
                <w:rFonts w:ascii="方正书宋_GBK" w:hAnsi="Times New Roman" w:eastAsia="方正书宋_GBK" w:cs="Times New Roman"/>
                <w:b/>
                <w:szCs w:val="24"/>
              </w:rPr>
            </w:pPr>
          </w:p>
        </w:tc>
        <w:tc>
          <w:tcPr>
            <w:tcW w:w="898" w:type="dxa"/>
            <w:vAlign w:val="center"/>
          </w:tcPr>
          <w:p>
            <w:pPr>
              <w:spacing w:line="300" w:lineRule="exact"/>
              <w:jc w:val="right"/>
              <w:rPr>
                <w:rFonts w:ascii="方正书宋_GBK" w:hAnsi="Times New Roman" w:eastAsia="方正书宋_GBK" w:cs="Times New Roman"/>
                <w:b/>
                <w:szCs w:val="24"/>
              </w:rPr>
            </w:pPr>
          </w:p>
        </w:tc>
        <w:tc>
          <w:tcPr>
            <w:tcW w:w="819" w:type="dxa"/>
            <w:vAlign w:val="center"/>
          </w:tcPr>
          <w:p>
            <w:pPr>
              <w:spacing w:line="300" w:lineRule="exact"/>
              <w:jc w:val="right"/>
              <w:rPr>
                <w:rFonts w:ascii="方正书宋_GBK" w:hAnsi="Times New Roman" w:eastAsia="方正书宋_GBK" w:cs="Times New Roman"/>
                <w:b/>
                <w:szCs w:val="24"/>
              </w:rPr>
            </w:pPr>
          </w:p>
        </w:tc>
        <w:tc>
          <w:tcPr>
            <w:tcW w:w="881" w:type="dxa"/>
            <w:vAlign w:val="center"/>
          </w:tcPr>
          <w:p>
            <w:pPr>
              <w:spacing w:line="300" w:lineRule="exact"/>
              <w:jc w:val="right"/>
              <w:rPr>
                <w:rFonts w:ascii="方正书宋_GBK" w:hAnsi="Times New Roman" w:eastAsia="方正书宋_GBK" w:cs="Times New Roman"/>
                <w:b/>
                <w:szCs w:val="24"/>
              </w:rPr>
            </w:pPr>
          </w:p>
        </w:tc>
        <w:tc>
          <w:tcPr>
            <w:tcW w:w="884" w:type="dxa"/>
            <w:vAlign w:val="center"/>
          </w:tcPr>
          <w:p>
            <w:pPr>
              <w:spacing w:line="300" w:lineRule="exact"/>
              <w:jc w:val="right"/>
              <w:rPr>
                <w:rFonts w:ascii="方正书宋_GBK" w:hAnsi="Times New Roman" w:eastAsia="方正书宋_GBK" w:cs="Times New Roman"/>
                <w:b/>
                <w:szCs w:val="24"/>
              </w:rPr>
            </w:pPr>
          </w:p>
        </w:tc>
        <w:tc>
          <w:tcPr>
            <w:tcW w:w="490" w:type="dxa"/>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0" w:type="dxa"/>
            <w:vAlign w:val="center"/>
          </w:tcPr>
          <w:p>
            <w:pPr>
              <w:spacing w:line="300" w:lineRule="exact"/>
              <w:jc w:val="center"/>
              <w:rPr>
                <w:rFonts w:ascii="方正书宋_GBK" w:hAnsi="Times New Roman" w:eastAsia="方正书宋_GBK" w:cs="Times New Roman"/>
                <w:b/>
                <w:szCs w:val="24"/>
              </w:rPr>
            </w:pPr>
          </w:p>
        </w:tc>
        <w:tc>
          <w:tcPr>
            <w:tcW w:w="1068" w:type="dxa"/>
            <w:vAlign w:val="center"/>
          </w:tcPr>
          <w:p>
            <w:pPr>
              <w:spacing w:line="300" w:lineRule="exact"/>
              <w:jc w:val="right"/>
              <w:rPr>
                <w:rFonts w:ascii="方正书宋_GBK" w:hAnsi="Times New Roman" w:eastAsia="方正书宋_GBK" w:cs="Times New Roman"/>
                <w:b/>
                <w:szCs w:val="24"/>
              </w:rPr>
            </w:pPr>
          </w:p>
        </w:tc>
        <w:tc>
          <w:tcPr>
            <w:tcW w:w="878" w:type="dxa"/>
            <w:vAlign w:val="center"/>
          </w:tcPr>
          <w:p>
            <w:pPr>
              <w:spacing w:line="300" w:lineRule="exact"/>
              <w:jc w:val="left"/>
              <w:rPr>
                <w:rFonts w:ascii="方正书宋_GBK" w:hAnsi="Times New Roman" w:eastAsia="方正书宋_GBK" w:cs="Times New Roman"/>
                <w:b/>
                <w:szCs w:val="24"/>
              </w:rPr>
            </w:pPr>
          </w:p>
        </w:tc>
        <w:tc>
          <w:tcPr>
            <w:tcW w:w="1399" w:type="dxa"/>
            <w:vAlign w:val="center"/>
          </w:tcPr>
          <w:p>
            <w:pPr>
              <w:spacing w:line="300" w:lineRule="exact"/>
              <w:jc w:val="left"/>
              <w:rPr>
                <w:rFonts w:ascii="方正书宋_GBK" w:hAnsi="Times New Roman" w:eastAsia="方正书宋_GBK" w:cs="Times New Roman"/>
                <w:b/>
                <w:szCs w:val="24"/>
              </w:rPr>
            </w:pPr>
          </w:p>
        </w:tc>
        <w:tc>
          <w:tcPr>
            <w:tcW w:w="878" w:type="dxa"/>
            <w:vAlign w:val="center"/>
          </w:tcPr>
          <w:p>
            <w:pPr>
              <w:spacing w:line="300" w:lineRule="exact"/>
              <w:jc w:val="left"/>
              <w:rPr>
                <w:rFonts w:ascii="方正书宋_GBK" w:hAnsi="Times New Roman" w:eastAsia="方正书宋_GBK" w:cs="Times New Roman"/>
                <w:b/>
                <w:szCs w:val="24"/>
              </w:rPr>
            </w:pPr>
          </w:p>
        </w:tc>
        <w:tc>
          <w:tcPr>
            <w:tcW w:w="878" w:type="dxa"/>
            <w:vAlign w:val="center"/>
          </w:tcPr>
          <w:p>
            <w:pPr>
              <w:spacing w:line="300" w:lineRule="exact"/>
              <w:jc w:val="right"/>
              <w:rPr>
                <w:rFonts w:ascii="方正书宋_GBK" w:hAnsi="Times New Roman" w:eastAsia="方正书宋_GBK" w:cs="Times New Roman"/>
                <w:b/>
                <w:szCs w:val="24"/>
              </w:rPr>
            </w:pPr>
          </w:p>
        </w:tc>
        <w:tc>
          <w:tcPr>
            <w:tcW w:w="904" w:type="dxa"/>
            <w:vAlign w:val="center"/>
          </w:tcPr>
          <w:p>
            <w:pPr>
              <w:spacing w:line="300" w:lineRule="exact"/>
              <w:jc w:val="right"/>
              <w:rPr>
                <w:rFonts w:ascii="方正书宋_GBK" w:hAnsi="Times New Roman" w:eastAsia="方正书宋_GBK" w:cs="Times New Roman"/>
                <w:b/>
                <w:szCs w:val="24"/>
              </w:rPr>
            </w:pPr>
          </w:p>
        </w:tc>
        <w:tc>
          <w:tcPr>
            <w:tcW w:w="898" w:type="dxa"/>
            <w:vAlign w:val="center"/>
          </w:tcPr>
          <w:p>
            <w:pPr>
              <w:spacing w:line="300" w:lineRule="exact"/>
              <w:jc w:val="right"/>
              <w:rPr>
                <w:rFonts w:ascii="方正书宋_GBK" w:hAnsi="Times New Roman" w:eastAsia="方正书宋_GBK" w:cs="Times New Roman"/>
                <w:b/>
                <w:szCs w:val="24"/>
              </w:rPr>
            </w:pPr>
          </w:p>
        </w:tc>
        <w:tc>
          <w:tcPr>
            <w:tcW w:w="898" w:type="dxa"/>
            <w:vAlign w:val="center"/>
          </w:tcPr>
          <w:p>
            <w:pPr>
              <w:spacing w:line="300" w:lineRule="exact"/>
              <w:jc w:val="right"/>
              <w:rPr>
                <w:rFonts w:ascii="方正书宋_GBK" w:hAnsi="Times New Roman" w:eastAsia="方正书宋_GBK" w:cs="Times New Roman"/>
                <w:b/>
                <w:szCs w:val="24"/>
              </w:rPr>
            </w:pPr>
          </w:p>
        </w:tc>
        <w:tc>
          <w:tcPr>
            <w:tcW w:w="898" w:type="dxa"/>
            <w:vAlign w:val="center"/>
          </w:tcPr>
          <w:p>
            <w:pPr>
              <w:spacing w:line="300" w:lineRule="exact"/>
              <w:jc w:val="right"/>
              <w:rPr>
                <w:rFonts w:ascii="方正书宋_GBK" w:hAnsi="Times New Roman" w:eastAsia="方正书宋_GBK" w:cs="Times New Roman"/>
                <w:b/>
                <w:szCs w:val="24"/>
              </w:rPr>
            </w:pPr>
          </w:p>
        </w:tc>
        <w:tc>
          <w:tcPr>
            <w:tcW w:w="819" w:type="dxa"/>
            <w:vAlign w:val="center"/>
          </w:tcPr>
          <w:p>
            <w:pPr>
              <w:spacing w:line="300" w:lineRule="exact"/>
              <w:jc w:val="right"/>
              <w:rPr>
                <w:rFonts w:ascii="方正书宋_GBK" w:hAnsi="Times New Roman" w:eastAsia="方正书宋_GBK" w:cs="Times New Roman"/>
                <w:b/>
                <w:szCs w:val="24"/>
              </w:rPr>
            </w:pPr>
          </w:p>
        </w:tc>
        <w:tc>
          <w:tcPr>
            <w:tcW w:w="881" w:type="dxa"/>
            <w:vAlign w:val="center"/>
          </w:tcPr>
          <w:p>
            <w:pPr>
              <w:spacing w:line="300" w:lineRule="exact"/>
              <w:jc w:val="right"/>
              <w:rPr>
                <w:rFonts w:ascii="方正书宋_GBK" w:hAnsi="Times New Roman" w:eastAsia="方正书宋_GBK" w:cs="Times New Roman"/>
                <w:b/>
                <w:szCs w:val="24"/>
              </w:rPr>
            </w:pPr>
          </w:p>
        </w:tc>
        <w:tc>
          <w:tcPr>
            <w:tcW w:w="884" w:type="dxa"/>
            <w:vAlign w:val="center"/>
          </w:tcPr>
          <w:p>
            <w:pPr>
              <w:spacing w:line="300" w:lineRule="exact"/>
              <w:jc w:val="right"/>
              <w:rPr>
                <w:rFonts w:ascii="方正书宋_GBK" w:hAnsi="Times New Roman" w:eastAsia="方正书宋_GBK" w:cs="Times New Roman"/>
                <w:b/>
                <w:szCs w:val="24"/>
              </w:rPr>
            </w:pPr>
          </w:p>
        </w:tc>
        <w:tc>
          <w:tcPr>
            <w:tcW w:w="490" w:type="dxa"/>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b/>
          <w:color w:val="auto"/>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物价局</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77.87</w:t>
      </w:r>
      <w:r>
        <w:rPr>
          <w:rFonts w:hint="eastAsia" w:ascii="仿宋_GB2312" w:hAnsi="黑体" w:eastAsia="仿宋_GB2312" w:cs="Times New Roman"/>
          <w:sz w:val="32"/>
          <w:szCs w:val="32"/>
        </w:rPr>
        <w:t>万元（详见下表）。</w:t>
      </w:r>
      <w:r>
        <w:rPr>
          <w:rFonts w:hint="eastAsia" w:ascii="仿宋_GB2312" w:hAnsi="黑体" w:eastAsia="仿宋_GB2312" w:cs="Times New Roman"/>
          <w:b/>
          <w:color w:val="auto"/>
          <w:sz w:val="32"/>
          <w:szCs w:val="32"/>
        </w:rPr>
        <w:t>本年度各单位（处室）拟购置固定资产总额</w:t>
      </w:r>
      <w:r>
        <w:rPr>
          <w:rFonts w:ascii="仿宋_GB2312" w:hAnsi="黑体" w:eastAsia="仿宋_GB2312" w:cs="Times New Roman"/>
          <w:b/>
          <w:color w:val="auto"/>
          <w:sz w:val="32"/>
          <w:szCs w:val="32"/>
        </w:rPr>
        <w:t>为</w:t>
      </w:r>
      <w:r>
        <w:rPr>
          <w:rFonts w:hint="eastAsia" w:ascii="仿宋_GB2312" w:hAnsi="黑体" w:eastAsia="仿宋_GB2312" w:cs="Times New Roman"/>
          <w:b/>
          <w:color w:val="auto"/>
          <w:sz w:val="32"/>
          <w:szCs w:val="32"/>
          <w:lang w:val="en-US" w:eastAsia="zh-CN"/>
        </w:rPr>
        <w:t>0.00</w:t>
      </w:r>
      <w:r>
        <w:rPr>
          <w:rFonts w:ascii="仿宋_GB2312" w:hAnsi="黑体" w:eastAsia="仿宋_GB2312" w:cs="Times New Roman"/>
          <w:b/>
          <w:color w:val="auto"/>
          <w:sz w:val="32"/>
          <w:szCs w:val="32"/>
        </w:rPr>
        <w:t>万元</w:t>
      </w:r>
      <w:r>
        <w:rPr>
          <w:rFonts w:hint="eastAsia" w:ascii="仿宋_GB2312" w:hAnsi="黑体" w:eastAsia="仿宋_GB2312" w:cs="Times New Roman"/>
          <w:b/>
          <w:color w:val="auto"/>
          <w:sz w:val="32"/>
          <w:szCs w:val="32"/>
          <w:lang w:eastAsia="zh-CN"/>
        </w:rPr>
        <w:t>。</w:t>
      </w:r>
      <w:r>
        <w:rPr>
          <w:rFonts w:ascii="仿宋_GB2312" w:hAnsi="黑体" w:eastAsia="仿宋_GB2312" w:cs="Times New Roman"/>
          <w:b/>
          <w:color w:val="auto"/>
          <w:sz w:val="32"/>
          <w:szCs w:val="32"/>
        </w:rPr>
        <w:t>2019</w:t>
      </w:r>
      <w:r>
        <w:rPr>
          <w:rFonts w:hint="eastAsia" w:ascii="仿宋_GB2312" w:hAnsi="黑体" w:eastAsia="仿宋_GB2312" w:cs="Times New Roman"/>
          <w:b/>
          <w:color w:val="auto"/>
          <w:sz w:val="32"/>
          <w:szCs w:val="32"/>
        </w:rPr>
        <w:t>年</w:t>
      </w:r>
      <w:r>
        <w:rPr>
          <w:rFonts w:ascii="仿宋_GB2312" w:hAnsi="黑体" w:eastAsia="仿宋_GB2312" w:cs="Times New Roman"/>
          <w:b/>
          <w:color w:val="auto"/>
          <w:sz w:val="32"/>
          <w:szCs w:val="32"/>
        </w:rPr>
        <w:t>，我部门无新增固定资产计划</w:t>
      </w:r>
      <w:r>
        <w:rPr>
          <w:rFonts w:hint="eastAsia" w:ascii="仿宋_GB2312" w:hAnsi="黑体" w:eastAsia="仿宋_GB2312" w:cs="Times New Roman"/>
          <w:b/>
          <w:color w:val="auto"/>
          <w:sz w:val="32"/>
          <w:szCs w:val="32"/>
        </w:rPr>
        <w:t>。</w:t>
      </w:r>
    </w:p>
    <w:tbl>
      <w:tblPr>
        <w:tblStyle w:val="7"/>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both"/>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highlight w:val="none"/>
                <w:lang w:eastAsia="zh-CN"/>
              </w:rPr>
              <w:t>物价局</w:t>
            </w:r>
            <w:r>
              <w:rPr>
                <w:rFonts w:hint="eastAsia" w:ascii="宋体" w:hAnsi="宋体" w:eastAsia="宋体" w:cs="宋体"/>
                <w:b/>
                <w:bCs/>
                <w:kern w:val="0"/>
                <w:sz w:val="32"/>
                <w:szCs w:val="32"/>
              </w:rPr>
              <w:t>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812</w:t>
            </w:r>
            <w:r>
              <w:rPr>
                <w:rFonts w:hint="eastAsia" w:ascii="宋体" w:hAnsi="宋体" w:eastAsia="宋体" w:cs="宋体"/>
                <w:kern w:val="0"/>
                <w:sz w:val="22"/>
              </w:rPr>
              <w:t>霸州市</w:t>
            </w:r>
            <w:r>
              <w:rPr>
                <w:rFonts w:hint="eastAsia" w:ascii="宋体" w:hAnsi="宋体" w:eastAsia="宋体" w:cs="宋体"/>
                <w:kern w:val="0"/>
                <w:sz w:val="22"/>
                <w:lang w:eastAsia="zh-CN"/>
              </w:rPr>
              <w:t>物价</w:t>
            </w:r>
            <w:r>
              <w:rPr>
                <w:rFonts w:hint="eastAsia" w:ascii="宋体" w:hAnsi="宋体" w:eastAsia="宋体" w:cs="宋体"/>
                <w:kern w:val="0"/>
                <w:sz w:val="22"/>
              </w:rPr>
              <w:t>局</w:t>
            </w:r>
          </w:p>
        </w:tc>
        <w:tc>
          <w:tcPr>
            <w:tcW w:w="5103" w:type="dxa"/>
            <w:tcBorders>
              <w:top w:val="nil"/>
              <w:left w:val="nil"/>
              <w:bottom w:val="nil"/>
              <w:right w:val="nil"/>
            </w:tcBorders>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lang w:val="en-US"/>
              </w:rPr>
            </w:pPr>
            <w:r>
              <w:rPr>
                <w:rFonts w:hint="eastAsia" w:ascii="仿宋_GB2312" w:hAnsi="黑体" w:eastAsia="仿宋_GB2312" w:cs="Times New Roman"/>
                <w:sz w:val="32"/>
                <w:szCs w:val="32"/>
                <w:lang w:val="en-US" w:eastAsia="zh-CN"/>
              </w:rPr>
              <w:t>77.87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eastAsia="zh-CN"/>
              </w:rPr>
            </w:pP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350</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35.07</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8"/>
      </w:rPr>
      <w:fldChar w:fldCharType="begin"/>
    </w:r>
    <w:r>
      <w:rPr>
        <w:sz w:val="28"/>
      </w:rPr>
      <w:instrText xml:space="preserve">PAGE   \* MERGEFORMAT</w:instrText>
    </w:r>
    <w:r>
      <w:rPr>
        <w:sz w:val="28"/>
      </w:rPr>
      <w:fldChar w:fldCharType="separate"/>
    </w:r>
    <w:r>
      <w:rPr>
        <w:sz w:val="28"/>
        <w:lang w:val="zh-CN"/>
      </w:rPr>
      <w:t>8</w:t>
    </w:r>
    <w:r>
      <w:rPr>
        <w:sz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6B361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uiPriority w:val="0"/>
    <w:rPr>
      <w:rFonts w:ascii="Times New Roman" w:hAnsi="Times New Roman" w:eastAsia="宋体" w:cs="Times New Roman"/>
      <w:szCs w:val="24"/>
    </w:rPr>
  </w:style>
  <w:style w:type="paragraph" w:styleId="5">
    <w:name w:val="toc 2"/>
    <w:basedOn w:val="1"/>
    <w:next w:val="1"/>
    <w:uiPriority w:val="0"/>
    <w:pPr>
      <w:ind w:left="420" w:leftChars="200"/>
    </w:pPr>
    <w:rPr>
      <w:rFonts w:ascii="Times New Roman" w:hAnsi="Times New Roman" w:eastAsia="宋体" w:cs="Times New Roman"/>
      <w:szCs w:val="24"/>
    </w:rPr>
  </w:style>
  <w:style w:type="paragraph" w:customStyle="1" w:styleId="8">
    <w:name w:val="批注框文本1"/>
    <w:basedOn w:val="1"/>
    <w:link w:val="13"/>
    <w:uiPriority w:val="0"/>
    <w:rPr>
      <w:sz w:val="18"/>
      <w:szCs w:val="18"/>
    </w:rPr>
  </w:style>
  <w:style w:type="paragraph" w:customStyle="1" w:styleId="9">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0">
    <w:name w:val="Char"/>
    <w:basedOn w:val="1"/>
    <w:uiPriority w:val="0"/>
    <w:rPr>
      <w:rFonts w:ascii="Tahoma" w:hAnsi="Tahoma" w:eastAsia="宋体" w:cs="Times New Roman"/>
      <w:sz w:val="24"/>
      <w:szCs w:val="24"/>
    </w:rPr>
  </w:style>
  <w:style w:type="character" w:customStyle="1" w:styleId="11">
    <w:name w:val="页眉 字符"/>
    <w:basedOn w:val="6"/>
    <w:link w:val="3"/>
    <w:semiHidden/>
    <w:qFormat/>
    <w:uiPriority w:val="0"/>
    <w:rPr>
      <w:rFonts w:ascii="Times New Roman" w:hAnsi="Times New Roman" w:eastAsia="宋体" w:cs="Times New Roman"/>
      <w:sz w:val="18"/>
      <w:szCs w:val="18"/>
    </w:rPr>
  </w:style>
  <w:style w:type="character" w:customStyle="1" w:styleId="12">
    <w:name w:val="页脚 字符"/>
    <w:basedOn w:val="6"/>
    <w:link w:val="2"/>
    <w:semiHidden/>
    <w:uiPriority w:val="0"/>
    <w:rPr>
      <w:rFonts w:ascii="Times New Roman" w:hAnsi="Times New Roman" w:eastAsia="宋体" w:cs="Times New Roman"/>
      <w:sz w:val="18"/>
      <w:szCs w:val="18"/>
    </w:rPr>
  </w:style>
  <w:style w:type="character" w:customStyle="1" w:styleId="13">
    <w:name w:val="批注框文本 字符"/>
    <w:basedOn w:val="6"/>
    <w:link w:val="8"/>
    <w:semiHidden/>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444</Words>
  <Characters>2533</Characters>
  <Lines>21</Lines>
  <Paragraphs>5</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2017-10-26T14:45:00Z</dcterms:created>
  <dc:creator>guest</dc:creator>
  <cp:lastModifiedBy>Administrator</cp:lastModifiedBy>
  <cp:lastPrinted>2018-02-28T09:51:00Z</cp:lastPrinted>
  <dcterms:modified xsi:type="dcterms:W3CDTF">2019-02-21T03:05:05Z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